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C9" w:rsidRDefault="00554BC9" w:rsidP="00962E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(Footnote for Ohio Municipal </w:t>
      </w:r>
      <w:r w:rsidR="006D6D26">
        <w:rPr>
          <w:rFonts w:ascii="Arial" w:hAnsi="Arial" w:cs="Arial"/>
          <w:b/>
          <w:bCs/>
          <w:sz w:val="20"/>
          <w:szCs w:val="20"/>
        </w:rPr>
        <w:t>Joint Self-Insurance Pool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554BC9" w:rsidRDefault="00554BC9" w:rsidP="00962E0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60" w:type="dxa"/>
        <w:jc w:val="center"/>
        <w:tblLook w:val="01E0" w:firstRow="1" w:lastRow="1" w:firstColumn="1" w:lastColumn="1" w:noHBand="0" w:noVBand="0"/>
      </w:tblPr>
      <w:tblGrid>
        <w:gridCol w:w="9360"/>
      </w:tblGrid>
      <w:tr w:rsidR="00442755" w:rsidRPr="00442755" w:rsidTr="007D57BE">
        <w:trPr>
          <w:jc w:val="center"/>
        </w:trPr>
        <w:tc>
          <w:tcPr>
            <w:tcW w:w="9288" w:type="dxa"/>
          </w:tcPr>
          <w:p w:rsidR="00442755" w:rsidRPr="00D5094A" w:rsidRDefault="00442755" w:rsidP="00962E01">
            <w:pPr>
              <w:jc w:val="both"/>
              <w:rPr>
                <w:sz w:val="22"/>
                <w:szCs w:val="22"/>
                <w:u w:val="double"/>
              </w:rPr>
            </w:pPr>
            <w:r w:rsidRPr="00D5094A">
              <w:rPr>
                <w:b/>
                <w:color w:val="0000FF"/>
                <w:sz w:val="22"/>
                <w:szCs w:val="22"/>
                <w:u w:val="double"/>
              </w:rPr>
              <w:t>Note:</w:t>
            </w:r>
            <w:r w:rsidRPr="00D5094A">
              <w:rPr>
                <w:b/>
                <w:color w:val="0000FF"/>
                <w:sz w:val="22"/>
                <w:szCs w:val="22"/>
              </w:rPr>
              <w:t xml:space="preserve">  This disclosure applies to AOS basis entities, per Bulletin 2001-05.  </w:t>
            </w:r>
            <w:r w:rsidR="00D5094A" w:rsidRPr="00D5094A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D5094A">
              <w:rPr>
                <w:b/>
                <w:color w:val="0000FF"/>
                <w:sz w:val="22"/>
                <w:szCs w:val="22"/>
              </w:rPr>
              <w:t>It is not intended to meet GAAP disclosure requirements.  GAAP entities should follow GASB requirements for disclosures.</w:t>
            </w:r>
          </w:p>
        </w:tc>
      </w:tr>
    </w:tbl>
    <w:p w:rsidR="00442755" w:rsidRDefault="00442755" w:rsidP="00962E01">
      <w:pPr>
        <w:jc w:val="both"/>
        <w:rPr>
          <w:rFonts w:ascii="Arial" w:hAnsi="Arial" w:cs="Arial"/>
          <w:sz w:val="20"/>
          <w:szCs w:val="20"/>
        </w:rPr>
      </w:pPr>
    </w:p>
    <w:p w:rsidR="00D5094A" w:rsidRDefault="00D5094A" w:rsidP="00962E01">
      <w:pPr>
        <w:jc w:val="both"/>
        <w:rPr>
          <w:rFonts w:ascii="Arial" w:hAnsi="Arial" w:cs="Arial"/>
          <w:sz w:val="20"/>
          <w:szCs w:val="20"/>
        </w:rPr>
      </w:pPr>
    </w:p>
    <w:p w:rsidR="00554BC9" w:rsidRDefault="00554BC9" w:rsidP="00962E0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Risk Pool Membership</w:t>
      </w:r>
    </w:p>
    <w:p w:rsidR="007E3471" w:rsidRDefault="007E3471" w:rsidP="00962E01">
      <w:pPr>
        <w:jc w:val="both"/>
        <w:rPr>
          <w:rFonts w:ascii="Arial" w:hAnsi="Arial" w:cs="Arial"/>
          <w:sz w:val="20"/>
          <w:szCs w:val="20"/>
        </w:rPr>
      </w:pPr>
    </w:p>
    <w:p w:rsidR="00E37D5E" w:rsidRDefault="00554BC9" w:rsidP="00962E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Government belongs to the Ohio Municipal Joint Self-Insurance Pool, (the "Pool"), an unincorporated non-profit association available to municipal corporations and their instrumentalities.  </w:t>
      </w:r>
      <w:r w:rsidR="00476096">
        <w:rPr>
          <w:rFonts w:ascii="Arial" w:hAnsi="Arial" w:cs="Arial"/>
          <w:sz w:val="20"/>
          <w:szCs w:val="20"/>
        </w:rPr>
        <w:t>The</w:t>
      </w:r>
      <w:r w:rsidR="00D5094A">
        <w:rPr>
          <w:rFonts w:ascii="Arial" w:hAnsi="Arial" w:cs="Arial"/>
          <w:sz w:val="20"/>
          <w:szCs w:val="20"/>
        </w:rPr>
        <w:t xml:space="preserve"> Pool</w:t>
      </w:r>
      <w:r w:rsidR="003A6C53">
        <w:rPr>
          <w:rFonts w:ascii="Arial" w:hAnsi="Arial" w:cs="Arial"/>
          <w:sz w:val="20"/>
          <w:szCs w:val="20"/>
        </w:rPr>
        <w:t xml:space="preserve"> </w:t>
      </w:r>
      <w:r w:rsidR="00476096">
        <w:rPr>
          <w:rFonts w:ascii="Arial" w:hAnsi="Arial" w:cs="Arial"/>
          <w:sz w:val="20"/>
          <w:szCs w:val="20"/>
        </w:rPr>
        <w:t>is a separate legal entity per</w:t>
      </w:r>
      <w:r>
        <w:rPr>
          <w:rFonts w:ascii="Arial" w:hAnsi="Arial" w:cs="Arial"/>
          <w:sz w:val="20"/>
          <w:szCs w:val="20"/>
        </w:rPr>
        <w:t xml:space="preserve"> Section 27</w:t>
      </w:r>
      <w:r w:rsidR="00640B56">
        <w:rPr>
          <w:rFonts w:ascii="Arial" w:hAnsi="Arial" w:cs="Arial"/>
          <w:sz w:val="20"/>
          <w:szCs w:val="20"/>
        </w:rPr>
        <w:t>44</w:t>
      </w:r>
      <w:r w:rsidR="00476096">
        <w:rPr>
          <w:rFonts w:ascii="Arial" w:hAnsi="Arial" w:cs="Arial"/>
          <w:sz w:val="20"/>
          <w:szCs w:val="20"/>
        </w:rPr>
        <w:t xml:space="preserve"> of the Ohio Revised Code</w:t>
      </w:r>
      <w:r>
        <w:rPr>
          <w:rFonts w:ascii="Arial" w:hAnsi="Arial" w:cs="Arial"/>
          <w:sz w:val="20"/>
          <w:szCs w:val="20"/>
        </w:rPr>
        <w:t xml:space="preserve">.  The Pool provides property and casualty insurance for its members.   The </w:t>
      </w:r>
      <w:r w:rsidR="00D5094A" w:rsidRPr="00D5094A">
        <w:rPr>
          <w:rFonts w:ascii="Arial" w:hAnsi="Arial" w:cs="Arial"/>
          <w:sz w:val="20"/>
          <w:szCs w:val="20"/>
        </w:rPr>
        <w:t>Pool</w:t>
      </w:r>
      <w:r w:rsidR="003A6C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pays judgments, settlements and other expenses resulting for covered claims that exceed the </w:t>
      </w:r>
      <w:r w:rsidR="00476096">
        <w:rPr>
          <w:rFonts w:ascii="Arial" w:hAnsi="Arial" w:cs="Arial"/>
          <w:sz w:val="20"/>
          <w:szCs w:val="20"/>
        </w:rPr>
        <w:t>members’</w:t>
      </w:r>
      <w:r>
        <w:rPr>
          <w:rFonts w:ascii="Arial" w:hAnsi="Arial" w:cs="Arial"/>
          <w:sz w:val="20"/>
          <w:szCs w:val="20"/>
        </w:rPr>
        <w:t xml:space="preserve"> deductibles</w:t>
      </w:r>
      <w:r w:rsidR="00E37D5E">
        <w:rPr>
          <w:rFonts w:ascii="Arial" w:hAnsi="Arial" w:cs="Arial"/>
          <w:sz w:val="20"/>
          <w:szCs w:val="20"/>
        </w:rPr>
        <w:t>.</w:t>
      </w:r>
    </w:p>
    <w:p w:rsidR="00B039E9" w:rsidRDefault="00B039E9" w:rsidP="00962E01">
      <w:pPr>
        <w:jc w:val="both"/>
        <w:rPr>
          <w:rFonts w:ascii="Arial" w:hAnsi="Arial" w:cs="Arial"/>
          <w:sz w:val="20"/>
          <w:szCs w:val="20"/>
        </w:rPr>
      </w:pPr>
    </w:p>
    <w:p w:rsidR="00F0191B" w:rsidRDefault="00AB33BB" w:rsidP="00962E01">
      <w:pPr>
        <w:widowControl/>
        <w:jc w:val="both"/>
        <w:rPr>
          <w:rFonts w:ascii="Arial" w:hAnsi="Arial" w:cs="Arial"/>
          <w:sz w:val="20"/>
          <w:szCs w:val="20"/>
        </w:rPr>
      </w:pPr>
      <w:r w:rsidRPr="00AB33BB">
        <w:rPr>
          <w:rFonts w:ascii="Arial" w:hAnsi="Arial" w:cs="Arial"/>
          <w:sz w:val="20"/>
          <w:szCs w:val="20"/>
        </w:rPr>
        <w:t>The Pool cedes portions of its gross contribution written to a reinsurer under excess reinsurance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>agreements in order to limit its losses. Tr</w:t>
      </w:r>
      <w:r>
        <w:rPr>
          <w:rFonts w:ascii="Arial" w:hAnsi="Arial" w:cs="Arial"/>
          <w:sz w:val="20"/>
          <w:szCs w:val="20"/>
        </w:rPr>
        <w:t>e</w:t>
      </w:r>
      <w:r w:rsidRPr="00AB33BB">
        <w:rPr>
          <w:rFonts w:ascii="Arial" w:hAnsi="Arial" w:cs="Arial"/>
          <w:sz w:val="20"/>
          <w:szCs w:val="20"/>
        </w:rPr>
        <w:t>aty basis excess</w:t>
      </w:r>
      <w:r>
        <w:rPr>
          <w:rFonts w:ascii="Arial" w:hAnsi="Arial" w:cs="Arial"/>
          <w:sz w:val="20"/>
          <w:szCs w:val="20"/>
        </w:rPr>
        <w:t>-</w:t>
      </w:r>
      <w:r w:rsidRPr="00AB33BB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>-</w:t>
      </w:r>
      <w:r w:rsidRPr="00AB33BB">
        <w:rPr>
          <w:rFonts w:ascii="Arial" w:hAnsi="Arial" w:cs="Arial"/>
          <w:sz w:val="20"/>
          <w:szCs w:val="20"/>
        </w:rPr>
        <w:t>loss contracts in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>force protect the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>Pool against losses over the reten</w:t>
      </w:r>
      <w:r w:rsidR="003C6E13">
        <w:rPr>
          <w:rFonts w:ascii="Arial" w:hAnsi="Arial" w:cs="Arial"/>
          <w:sz w:val="20"/>
          <w:szCs w:val="20"/>
        </w:rPr>
        <w:t xml:space="preserve">tion level; at </w:t>
      </w:r>
      <w:r w:rsidR="00563B27">
        <w:rPr>
          <w:rFonts w:ascii="Arial" w:hAnsi="Arial" w:cs="Arial"/>
          <w:sz w:val="20"/>
          <w:szCs w:val="20"/>
        </w:rPr>
        <w:t>March</w:t>
      </w:r>
      <w:r w:rsidR="003C6E13">
        <w:rPr>
          <w:rFonts w:ascii="Arial" w:hAnsi="Arial" w:cs="Arial"/>
          <w:sz w:val="20"/>
          <w:szCs w:val="20"/>
        </w:rPr>
        <w:t xml:space="preserve"> 31</w:t>
      </w:r>
      <w:r w:rsidR="00113F50">
        <w:rPr>
          <w:rFonts w:ascii="Arial" w:hAnsi="Arial" w:cs="Arial"/>
          <w:sz w:val="20"/>
          <w:szCs w:val="20"/>
        </w:rPr>
        <w:t>,</w:t>
      </w:r>
      <w:r w:rsidR="003C6E13">
        <w:rPr>
          <w:rFonts w:ascii="Arial" w:hAnsi="Arial" w:cs="Arial"/>
          <w:sz w:val="20"/>
          <w:szCs w:val="20"/>
        </w:rPr>
        <w:t xml:space="preserve"> 201</w:t>
      </w:r>
      <w:r w:rsidR="00E6545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, retention</w:t>
      </w:r>
      <w:r w:rsidR="003C6E13">
        <w:rPr>
          <w:rFonts w:ascii="Arial" w:hAnsi="Arial" w:cs="Arial"/>
          <w:sz w:val="20"/>
          <w:szCs w:val="20"/>
        </w:rPr>
        <w:t xml:space="preserve"> levels are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>$</w:t>
      </w:r>
      <w:r w:rsidR="00773661">
        <w:rPr>
          <w:rFonts w:ascii="Arial" w:hAnsi="Arial" w:cs="Arial"/>
          <w:sz w:val="20"/>
          <w:szCs w:val="20"/>
        </w:rPr>
        <w:t>50</w:t>
      </w:r>
      <w:r w:rsidRPr="00AB33BB">
        <w:rPr>
          <w:rFonts w:ascii="Arial" w:hAnsi="Arial" w:cs="Arial"/>
          <w:sz w:val="20"/>
          <w:szCs w:val="20"/>
        </w:rPr>
        <w:t>,000</w:t>
      </w:r>
      <w:r w:rsidR="00B039E9">
        <w:rPr>
          <w:rFonts w:ascii="Arial" w:hAnsi="Arial" w:cs="Arial"/>
          <w:sz w:val="20"/>
          <w:szCs w:val="20"/>
        </w:rPr>
        <w:t xml:space="preserve"> and $1</w:t>
      </w:r>
      <w:r w:rsidR="00773661">
        <w:rPr>
          <w:rFonts w:ascii="Arial" w:hAnsi="Arial" w:cs="Arial"/>
          <w:sz w:val="20"/>
          <w:szCs w:val="20"/>
        </w:rPr>
        <w:t>00</w:t>
      </w:r>
      <w:r w:rsidR="00B039E9">
        <w:rPr>
          <w:rFonts w:ascii="Arial" w:hAnsi="Arial" w:cs="Arial"/>
          <w:sz w:val="20"/>
          <w:szCs w:val="20"/>
        </w:rPr>
        <w:t>,000</w:t>
      </w:r>
      <w:r w:rsidR="00AE1909">
        <w:rPr>
          <w:rFonts w:ascii="Arial" w:hAnsi="Arial" w:cs="Arial"/>
          <w:sz w:val="20"/>
          <w:szCs w:val="20"/>
        </w:rPr>
        <w:t xml:space="preserve"> </w:t>
      </w:r>
      <w:r w:rsidR="008527DE">
        <w:rPr>
          <w:rFonts w:ascii="Arial" w:hAnsi="Arial" w:cs="Arial"/>
          <w:sz w:val="20"/>
          <w:szCs w:val="20"/>
        </w:rPr>
        <w:t>f</w:t>
      </w:r>
      <w:r w:rsidRPr="00AB33BB">
        <w:rPr>
          <w:rFonts w:ascii="Arial" w:hAnsi="Arial" w:cs="Arial"/>
          <w:sz w:val="20"/>
          <w:szCs w:val="20"/>
        </w:rPr>
        <w:t>or property and</w:t>
      </w:r>
      <w:r w:rsidR="00CF1164">
        <w:rPr>
          <w:rFonts w:ascii="Arial" w:hAnsi="Arial" w:cs="Arial"/>
          <w:sz w:val="20"/>
          <w:szCs w:val="20"/>
        </w:rPr>
        <w:t xml:space="preserve"> casualty coverage</w:t>
      </w:r>
      <w:r w:rsidR="00B039E9">
        <w:rPr>
          <w:rFonts w:ascii="Arial" w:hAnsi="Arial" w:cs="Arial"/>
          <w:sz w:val="20"/>
          <w:szCs w:val="20"/>
        </w:rPr>
        <w:t>s, respectively.</w:t>
      </w:r>
    </w:p>
    <w:p w:rsidR="005C2EBB" w:rsidRDefault="005C2EBB" w:rsidP="00962E01">
      <w:pPr>
        <w:widowControl/>
        <w:jc w:val="both"/>
        <w:rPr>
          <w:rFonts w:ascii="Arial" w:hAnsi="Arial" w:cs="Arial"/>
          <w:sz w:val="20"/>
          <w:szCs w:val="20"/>
        </w:rPr>
      </w:pPr>
    </w:p>
    <w:p w:rsidR="005C2EBB" w:rsidRPr="005C2EBB" w:rsidRDefault="005C2EBB" w:rsidP="00962E01">
      <w:pPr>
        <w:widowControl/>
        <w:jc w:val="both"/>
        <w:rPr>
          <w:rFonts w:ascii="Arial" w:hAnsi="Arial" w:cs="Arial"/>
          <w:sz w:val="20"/>
          <w:szCs w:val="20"/>
        </w:rPr>
      </w:pPr>
      <w:r w:rsidRPr="005C2EBB">
        <w:rPr>
          <w:rFonts w:ascii="Arial" w:hAnsi="Arial" w:cs="Arial"/>
          <w:sz w:val="20"/>
          <w:szCs w:val="20"/>
        </w:rPr>
        <w:t>The Pool remains liable to the extent the reinsuring companies are unable to meet their</w:t>
      </w:r>
      <w:r>
        <w:rPr>
          <w:rFonts w:ascii="Arial" w:hAnsi="Arial" w:cs="Arial"/>
          <w:sz w:val="20"/>
          <w:szCs w:val="20"/>
        </w:rPr>
        <w:t xml:space="preserve"> </w:t>
      </w:r>
      <w:r w:rsidRPr="005C2EBB">
        <w:rPr>
          <w:rFonts w:ascii="Arial" w:hAnsi="Arial" w:cs="Arial"/>
          <w:sz w:val="20"/>
          <w:szCs w:val="20"/>
        </w:rPr>
        <w:t>contractual obligations under reinsurance agreements.</w:t>
      </w:r>
    </w:p>
    <w:p w:rsidR="00AB33BB" w:rsidRPr="00AB33BB" w:rsidRDefault="00AB33BB" w:rsidP="00962E01">
      <w:pPr>
        <w:jc w:val="both"/>
        <w:rPr>
          <w:rFonts w:ascii="Arial" w:hAnsi="Arial" w:cs="Arial"/>
          <w:sz w:val="20"/>
          <w:szCs w:val="20"/>
        </w:rPr>
      </w:pPr>
    </w:p>
    <w:p w:rsidR="007A13CA" w:rsidRPr="002C0A88" w:rsidRDefault="00554BC9" w:rsidP="00962E0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Pool</w:t>
      </w:r>
      <w:r w:rsidR="006A6223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s financial statements </w:t>
      </w:r>
      <w:r w:rsidR="00C21F82">
        <w:rPr>
          <w:rFonts w:ascii="Arial" w:hAnsi="Arial" w:cs="Arial"/>
          <w:sz w:val="20"/>
          <w:szCs w:val="20"/>
        </w:rPr>
        <w:t xml:space="preserve">(audited by other auditors) </w:t>
      </w:r>
      <w:r>
        <w:rPr>
          <w:rFonts w:ascii="Arial" w:hAnsi="Arial" w:cs="Arial"/>
          <w:sz w:val="20"/>
          <w:szCs w:val="20"/>
        </w:rPr>
        <w:t xml:space="preserve">conform </w:t>
      </w:r>
      <w:bookmarkStart w:id="0" w:name="_GoBack"/>
      <w:bookmarkEnd w:id="0"/>
      <w:proofErr w:type="gramStart"/>
      <w:r>
        <w:rPr>
          <w:rFonts w:ascii="Arial" w:hAnsi="Arial" w:cs="Arial"/>
          <w:sz w:val="20"/>
          <w:szCs w:val="20"/>
        </w:rPr>
        <w:t>with</w:t>
      </w:r>
      <w:proofErr w:type="gramEnd"/>
      <w:r>
        <w:rPr>
          <w:rFonts w:ascii="Arial" w:hAnsi="Arial" w:cs="Arial"/>
          <w:sz w:val="20"/>
          <w:szCs w:val="20"/>
        </w:rPr>
        <w:t xml:space="preserve"> generally accepted accounting principles, and reported the following assets, liabilities and </w:t>
      </w:r>
      <w:r w:rsidR="00805B77">
        <w:rPr>
          <w:rFonts w:ascii="Arial" w:hAnsi="Arial" w:cs="Arial"/>
          <w:sz w:val="20"/>
          <w:szCs w:val="20"/>
        </w:rPr>
        <w:t xml:space="preserve">accumulated </w:t>
      </w:r>
      <w:r w:rsidR="003C6E13">
        <w:rPr>
          <w:rFonts w:ascii="Arial" w:hAnsi="Arial" w:cs="Arial"/>
          <w:sz w:val="20"/>
          <w:szCs w:val="20"/>
        </w:rPr>
        <w:t>surplus</w:t>
      </w:r>
      <w:r>
        <w:rPr>
          <w:rFonts w:ascii="Arial" w:hAnsi="Arial" w:cs="Arial"/>
          <w:sz w:val="20"/>
          <w:szCs w:val="20"/>
        </w:rPr>
        <w:t xml:space="preserve"> at </w:t>
      </w:r>
      <w:r w:rsidR="0037713B">
        <w:rPr>
          <w:rFonts w:ascii="Arial" w:hAnsi="Arial" w:cs="Arial"/>
          <w:sz w:val="20"/>
          <w:szCs w:val="20"/>
        </w:rPr>
        <w:t>March</w:t>
      </w:r>
      <w:r>
        <w:rPr>
          <w:rFonts w:ascii="Arial" w:hAnsi="Arial" w:cs="Arial"/>
          <w:sz w:val="20"/>
          <w:szCs w:val="20"/>
        </w:rPr>
        <w:t xml:space="preserve"> 31</w:t>
      </w:r>
      <w:r w:rsidRPr="00937756">
        <w:rPr>
          <w:rFonts w:ascii="Arial" w:hAnsi="Arial" w:cs="Arial"/>
          <w:sz w:val="20"/>
          <w:szCs w:val="20"/>
        </w:rPr>
        <w:t>, 20</w:t>
      </w:r>
      <w:r w:rsidR="003C6E13">
        <w:rPr>
          <w:rFonts w:ascii="Arial" w:hAnsi="Arial" w:cs="Arial"/>
          <w:sz w:val="20"/>
          <w:szCs w:val="20"/>
        </w:rPr>
        <w:t>1</w:t>
      </w:r>
      <w:r w:rsidR="00E6545E">
        <w:rPr>
          <w:rFonts w:ascii="Arial" w:hAnsi="Arial" w:cs="Arial"/>
          <w:sz w:val="20"/>
          <w:szCs w:val="20"/>
        </w:rPr>
        <w:t>8</w:t>
      </w:r>
      <w:r w:rsidR="00805B77">
        <w:rPr>
          <w:rFonts w:ascii="Arial" w:hAnsi="Arial" w:cs="Arial"/>
          <w:sz w:val="20"/>
          <w:szCs w:val="20"/>
        </w:rPr>
        <w:t>.</w:t>
      </w:r>
    </w:p>
    <w:p w:rsidR="007A13CA" w:rsidRDefault="007A13CA" w:rsidP="00962E01">
      <w:pPr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7200" w:type="dxa"/>
        <w:tblInd w:w="129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20"/>
        <w:gridCol w:w="1440"/>
        <w:gridCol w:w="1440"/>
      </w:tblGrid>
      <w:tr w:rsidR="007A13CA" w:rsidRPr="00DC4E1C" w:rsidTr="00B8248F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C4E1C" w:rsidRDefault="007A13CA" w:rsidP="00962E01">
            <w:pPr>
              <w:spacing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13CA" w:rsidRPr="00DC4E1C" w:rsidRDefault="007A13CA" w:rsidP="00962E01">
            <w:pPr>
              <w:spacing w:after="5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5094A" w:rsidRDefault="007A13CA" w:rsidP="005F446D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A36DE" w:rsidRPr="00D5094A" w:rsidRDefault="002A36DE" w:rsidP="00B948D7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7A13CA" w:rsidRPr="00DC4E1C" w:rsidTr="00B8248F">
        <w:trPr>
          <w:trHeight w:val="22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C4E1C" w:rsidRDefault="007A13CA" w:rsidP="00E6545E">
            <w:pPr>
              <w:spacing w:after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E1C">
              <w:rPr>
                <w:rFonts w:ascii="Arial" w:hAnsi="Arial" w:cs="Arial"/>
                <w:sz w:val="20"/>
                <w:szCs w:val="20"/>
              </w:rPr>
              <w:t>Assets</w:t>
            </w:r>
            <w:r w:rsidR="009E3521">
              <w:rPr>
                <w:rFonts w:ascii="Arial" w:hAnsi="Arial" w:cs="Arial"/>
                <w:sz w:val="20"/>
                <w:szCs w:val="20"/>
              </w:rPr>
              <w:t xml:space="preserve">                              $1,</w:t>
            </w:r>
            <w:r w:rsidR="00E6545E">
              <w:rPr>
                <w:rFonts w:ascii="Arial" w:hAnsi="Arial" w:cs="Arial"/>
                <w:sz w:val="20"/>
                <w:szCs w:val="20"/>
              </w:rPr>
              <w:t>341</w:t>
            </w:r>
            <w:r w:rsidR="00067389">
              <w:rPr>
                <w:rFonts w:ascii="Arial" w:hAnsi="Arial" w:cs="Arial"/>
                <w:sz w:val="20"/>
                <w:szCs w:val="20"/>
              </w:rPr>
              <w:t>,</w:t>
            </w:r>
            <w:r w:rsidR="00E6545E">
              <w:rPr>
                <w:rFonts w:ascii="Arial" w:hAnsi="Arial" w:cs="Arial"/>
                <w:sz w:val="20"/>
                <w:szCs w:val="20"/>
              </w:rPr>
              <w:t>1</w:t>
            </w:r>
            <w:r w:rsidR="00067389">
              <w:rPr>
                <w:rFonts w:ascii="Arial" w:hAnsi="Arial" w:cs="Arial"/>
                <w:sz w:val="20"/>
                <w:szCs w:val="20"/>
              </w:rPr>
              <w:t>2</w:t>
            </w:r>
            <w:r w:rsidR="00E6545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5094A" w:rsidRDefault="007A13CA" w:rsidP="009E3521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5094A" w:rsidRDefault="007A13CA" w:rsidP="00B948D7">
            <w:pPr>
              <w:widowControl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3CA" w:rsidRPr="00DC4E1C" w:rsidTr="00B8248F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C4E1C" w:rsidRDefault="007A13CA" w:rsidP="00E6545E">
            <w:pPr>
              <w:spacing w:after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E1C">
              <w:rPr>
                <w:rFonts w:ascii="Arial" w:hAnsi="Arial" w:cs="Arial"/>
                <w:sz w:val="20"/>
                <w:szCs w:val="20"/>
              </w:rPr>
              <w:t>Liabilities</w:t>
            </w:r>
            <w:r w:rsidR="009E3521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E654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35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3521" w:rsidRPr="009E3521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 w:rsidR="00E6545E">
              <w:rPr>
                <w:rFonts w:ascii="Arial" w:hAnsi="Arial" w:cs="Arial"/>
                <w:sz w:val="20"/>
                <w:szCs w:val="20"/>
                <w:u w:val="single"/>
              </w:rPr>
              <w:t>884</w:t>
            </w:r>
            <w:r w:rsidR="00067389">
              <w:rPr>
                <w:rFonts w:ascii="Arial" w:hAnsi="Arial" w:cs="Arial"/>
                <w:sz w:val="20"/>
                <w:szCs w:val="20"/>
                <w:u w:val="single"/>
              </w:rPr>
              <w:t>,</w:t>
            </w:r>
            <w:r w:rsidR="00E6545E">
              <w:rPr>
                <w:rFonts w:ascii="Arial" w:hAnsi="Arial" w:cs="Arial"/>
                <w:sz w:val="20"/>
                <w:szCs w:val="20"/>
                <w:u w:val="single"/>
              </w:rPr>
              <w:t>941</w:t>
            </w:r>
            <w:r w:rsidR="009E3521" w:rsidRPr="009E3521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5094A" w:rsidRDefault="007A13CA" w:rsidP="00773661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5094A" w:rsidRDefault="007A13CA" w:rsidP="00B948D7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948D7" w:rsidRPr="00DC4E1C" w:rsidTr="00B8248F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948D7" w:rsidRPr="00DC4E1C" w:rsidRDefault="00B948D7" w:rsidP="00E6545E">
            <w:pPr>
              <w:spacing w:after="5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Accumulated Surplus       </w:t>
            </w:r>
            <w:r w:rsidR="009E3521">
              <w:rPr>
                <w:rFonts w:ascii="Arial" w:hAnsi="Arial" w:cs="Arial"/>
                <w:sz w:val="20"/>
                <w:szCs w:val="20"/>
              </w:rPr>
              <w:t>$</w:t>
            </w:r>
            <w:r w:rsidR="00067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35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4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389">
              <w:rPr>
                <w:rFonts w:ascii="Arial" w:hAnsi="Arial" w:cs="Arial"/>
                <w:sz w:val="20"/>
                <w:szCs w:val="20"/>
                <w:u w:val="double"/>
              </w:rPr>
              <w:t>4</w:t>
            </w:r>
            <w:r w:rsidR="00E6545E">
              <w:rPr>
                <w:rFonts w:ascii="Arial" w:hAnsi="Arial" w:cs="Arial"/>
                <w:sz w:val="20"/>
                <w:szCs w:val="20"/>
                <w:u w:val="double"/>
              </w:rPr>
              <w:t>56,18</w:t>
            </w:r>
            <w:r w:rsidR="00067389">
              <w:rPr>
                <w:rFonts w:ascii="Arial" w:hAnsi="Arial" w:cs="Arial"/>
                <w:sz w:val="20"/>
                <w:szCs w:val="20"/>
                <w:u w:val="double"/>
              </w:rPr>
              <w:t>7</w:t>
            </w:r>
            <w:r w:rsidRPr="009E3521">
              <w:rPr>
                <w:rFonts w:ascii="Arial" w:hAnsi="Arial" w:cs="Arial"/>
                <w:sz w:val="20"/>
                <w:szCs w:val="20"/>
                <w:u w:val="doub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948D7" w:rsidRPr="00B948D7" w:rsidRDefault="00B948D7" w:rsidP="00B948D7">
            <w:pPr>
              <w:spacing w:after="58"/>
              <w:rPr>
                <w:rFonts w:ascii="Arial" w:hAnsi="Arial" w:cs="Arial"/>
                <w:sz w:val="20"/>
                <w:szCs w:val="20"/>
                <w:u w:val="doub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948D7" w:rsidRPr="00B948D7" w:rsidRDefault="00B948D7" w:rsidP="00B948D7">
            <w:pPr>
              <w:spacing w:after="58"/>
              <w:rPr>
                <w:rFonts w:ascii="Arial" w:hAnsi="Arial" w:cs="Arial"/>
                <w:sz w:val="20"/>
                <w:szCs w:val="20"/>
                <w:u w:val="double"/>
              </w:rPr>
            </w:pPr>
          </w:p>
        </w:tc>
      </w:tr>
      <w:tr w:rsidR="00B948D7" w:rsidRPr="00DC4E1C" w:rsidTr="00B8248F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948D7" w:rsidRPr="00DC4E1C" w:rsidRDefault="00B948D7" w:rsidP="00962E01">
            <w:pPr>
              <w:spacing w:after="5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948D7" w:rsidRPr="00D5094A" w:rsidRDefault="00B948D7" w:rsidP="00773661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948D7" w:rsidRPr="00B948D7" w:rsidRDefault="00B948D7" w:rsidP="00B948D7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4BC9" w:rsidRDefault="00554BC9" w:rsidP="00962E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554BC9" w:rsidSect="00554BC9"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C9"/>
    <w:rsid w:val="00013E18"/>
    <w:rsid w:val="000350F8"/>
    <w:rsid w:val="00067389"/>
    <w:rsid w:val="00074876"/>
    <w:rsid w:val="000D117A"/>
    <w:rsid w:val="00110E5B"/>
    <w:rsid w:val="00113F50"/>
    <w:rsid w:val="00117A04"/>
    <w:rsid w:val="00170275"/>
    <w:rsid w:val="002A36DE"/>
    <w:rsid w:val="002C0A88"/>
    <w:rsid w:val="00300665"/>
    <w:rsid w:val="0037713B"/>
    <w:rsid w:val="003A6C53"/>
    <w:rsid w:val="003C6E13"/>
    <w:rsid w:val="003E2AD3"/>
    <w:rsid w:val="0042136B"/>
    <w:rsid w:val="004229AE"/>
    <w:rsid w:val="00442755"/>
    <w:rsid w:val="0045109E"/>
    <w:rsid w:val="0045150D"/>
    <w:rsid w:val="00476096"/>
    <w:rsid w:val="004A1091"/>
    <w:rsid w:val="004A67E3"/>
    <w:rsid w:val="00507E8F"/>
    <w:rsid w:val="00510EA0"/>
    <w:rsid w:val="0052336A"/>
    <w:rsid w:val="005451C0"/>
    <w:rsid w:val="0055388C"/>
    <w:rsid w:val="005541F5"/>
    <w:rsid w:val="00554BC9"/>
    <w:rsid w:val="00563B27"/>
    <w:rsid w:val="005A363E"/>
    <w:rsid w:val="005C2EBB"/>
    <w:rsid w:val="005C78FD"/>
    <w:rsid w:val="005D3F58"/>
    <w:rsid w:val="005F446D"/>
    <w:rsid w:val="00613CEE"/>
    <w:rsid w:val="0061629F"/>
    <w:rsid w:val="00624334"/>
    <w:rsid w:val="00630D89"/>
    <w:rsid w:val="00640B56"/>
    <w:rsid w:val="00667A72"/>
    <w:rsid w:val="006825B2"/>
    <w:rsid w:val="00682D5B"/>
    <w:rsid w:val="006A6223"/>
    <w:rsid w:val="006B38CB"/>
    <w:rsid w:val="006D6D26"/>
    <w:rsid w:val="006E2EB8"/>
    <w:rsid w:val="007314DF"/>
    <w:rsid w:val="0076607C"/>
    <w:rsid w:val="00772D51"/>
    <w:rsid w:val="00773661"/>
    <w:rsid w:val="007A13CA"/>
    <w:rsid w:val="007D57BE"/>
    <w:rsid w:val="007E3471"/>
    <w:rsid w:val="007F4F95"/>
    <w:rsid w:val="00805B77"/>
    <w:rsid w:val="008349B6"/>
    <w:rsid w:val="00840F36"/>
    <w:rsid w:val="008527DE"/>
    <w:rsid w:val="00860D3F"/>
    <w:rsid w:val="008B14A0"/>
    <w:rsid w:val="008B3358"/>
    <w:rsid w:val="008D4120"/>
    <w:rsid w:val="008D609C"/>
    <w:rsid w:val="00902FBE"/>
    <w:rsid w:val="00937756"/>
    <w:rsid w:val="00951750"/>
    <w:rsid w:val="00962E01"/>
    <w:rsid w:val="00973DD0"/>
    <w:rsid w:val="00986D9F"/>
    <w:rsid w:val="009E3521"/>
    <w:rsid w:val="00A34CD9"/>
    <w:rsid w:val="00A6121D"/>
    <w:rsid w:val="00AA346B"/>
    <w:rsid w:val="00AB33BB"/>
    <w:rsid w:val="00AE1909"/>
    <w:rsid w:val="00AE5A1C"/>
    <w:rsid w:val="00B006BD"/>
    <w:rsid w:val="00B039E9"/>
    <w:rsid w:val="00B44D87"/>
    <w:rsid w:val="00B8248F"/>
    <w:rsid w:val="00B87247"/>
    <w:rsid w:val="00B948D7"/>
    <w:rsid w:val="00BC0F87"/>
    <w:rsid w:val="00C15429"/>
    <w:rsid w:val="00C21F82"/>
    <w:rsid w:val="00C3627F"/>
    <w:rsid w:val="00C36425"/>
    <w:rsid w:val="00C828EA"/>
    <w:rsid w:val="00CD5317"/>
    <w:rsid w:val="00CF1164"/>
    <w:rsid w:val="00CF531F"/>
    <w:rsid w:val="00D14BEC"/>
    <w:rsid w:val="00D40B18"/>
    <w:rsid w:val="00D5094A"/>
    <w:rsid w:val="00DA19C5"/>
    <w:rsid w:val="00DC4E1C"/>
    <w:rsid w:val="00DD5061"/>
    <w:rsid w:val="00E37D5E"/>
    <w:rsid w:val="00E6545E"/>
    <w:rsid w:val="00F0191B"/>
    <w:rsid w:val="00F63E10"/>
    <w:rsid w:val="00FA1F18"/>
    <w:rsid w:val="00FB1ED8"/>
    <w:rsid w:val="00FF172C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AD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E2AD3"/>
  </w:style>
  <w:style w:type="table" w:styleId="TableGrid">
    <w:name w:val="Table Grid"/>
    <w:basedOn w:val="TableNormal"/>
    <w:rsid w:val="004A109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71">
    <w:name w:val="EmailStyle171"/>
    <w:basedOn w:val="DefaultParagraphFont"/>
    <w:semiHidden/>
    <w:rsid w:val="00F0191B"/>
    <w:rPr>
      <w:rFonts w:ascii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AD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E2AD3"/>
  </w:style>
  <w:style w:type="table" w:styleId="TableGrid">
    <w:name w:val="Table Grid"/>
    <w:basedOn w:val="TableNormal"/>
    <w:rsid w:val="004A109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71">
    <w:name w:val="EmailStyle171"/>
    <w:basedOn w:val="DefaultParagraphFont"/>
    <w:semiHidden/>
    <w:rsid w:val="00F0191B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F7B58-42FE-4084-81E8-A8633C38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(Footnote for Ohio Municipal League)</vt:lpstr>
    </vt:vector>
  </TitlesOfParts>
  <Company>Auditor of State of Ohio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(Footnote for Ohio Municipal League)</dc:title>
  <dc:creator>Administrator</dc:creator>
  <cp:lastModifiedBy>Timothy J. Wagner</cp:lastModifiedBy>
  <cp:revision>2</cp:revision>
  <dcterms:created xsi:type="dcterms:W3CDTF">2018-10-24T17:24:00Z</dcterms:created>
  <dcterms:modified xsi:type="dcterms:W3CDTF">2018-10-24T17:24:00Z</dcterms:modified>
</cp:coreProperties>
</file>